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241" w:rsidRDefault="00477241" w:rsidP="00A75A49">
      <w:pPr>
        <w:ind w:left="0" w:firstLine="720"/>
        <w:jc w:val="center"/>
        <w:rPr>
          <w:rFonts w:ascii="Times New Roman" w:hAnsi="Times New Roman" w:cs="Times New Roman"/>
          <w:sz w:val="24"/>
          <w:szCs w:val="24"/>
        </w:rPr>
      </w:pPr>
      <w:bookmarkStart w:id="0" w:name="_GoBack"/>
      <w:bookmarkEnd w:id="0"/>
    </w:p>
    <w:p w:rsidR="00477241" w:rsidRDefault="00477241" w:rsidP="00A75A49">
      <w:pPr>
        <w:ind w:left="0" w:firstLine="720"/>
        <w:jc w:val="center"/>
        <w:rPr>
          <w:rFonts w:ascii="Times New Roman" w:hAnsi="Times New Roman" w:cs="Times New Roman"/>
          <w:sz w:val="24"/>
          <w:szCs w:val="24"/>
        </w:rPr>
      </w:pPr>
    </w:p>
    <w:p w:rsidR="00477241" w:rsidRDefault="00477241" w:rsidP="00A75A49">
      <w:pPr>
        <w:ind w:left="0" w:firstLine="720"/>
        <w:jc w:val="center"/>
        <w:rPr>
          <w:rFonts w:ascii="Times New Roman" w:hAnsi="Times New Roman" w:cs="Times New Roman"/>
          <w:sz w:val="24"/>
          <w:szCs w:val="24"/>
        </w:rPr>
      </w:pPr>
    </w:p>
    <w:p w:rsidR="00477241" w:rsidRDefault="00477241" w:rsidP="00A75A49">
      <w:pPr>
        <w:ind w:left="0" w:firstLine="720"/>
        <w:jc w:val="center"/>
        <w:rPr>
          <w:rFonts w:ascii="Times New Roman" w:hAnsi="Times New Roman" w:cs="Times New Roman"/>
          <w:sz w:val="24"/>
          <w:szCs w:val="24"/>
        </w:rPr>
      </w:pPr>
    </w:p>
    <w:p w:rsidR="00477241" w:rsidRDefault="00477241" w:rsidP="00A75A49">
      <w:pPr>
        <w:ind w:left="0" w:firstLine="720"/>
        <w:jc w:val="center"/>
        <w:rPr>
          <w:rFonts w:ascii="Times New Roman" w:hAnsi="Times New Roman" w:cs="Times New Roman"/>
          <w:sz w:val="24"/>
          <w:szCs w:val="24"/>
        </w:rPr>
      </w:pPr>
    </w:p>
    <w:p w:rsidR="00477241" w:rsidRDefault="00477241" w:rsidP="00A75A49">
      <w:pPr>
        <w:ind w:left="0" w:firstLine="720"/>
        <w:jc w:val="center"/>
        <w:rPr>
          <w:rFonts w:ascii="Times New Roman" w:hAnsi="Times New Roman" w:cs="Times New Roman"/>
          <w:sz w:val="24"/>
          <w:szCs w:val="24"/>
        </w:rPr>
      </w:pPr>
    </w:p>
    <w:p w:rsidR="00477241" w:rsidRDefault="00477241" w:rsidP="00A75A49">
      <w:pPr>
        <w:ind w:left="0" w:firstLine="720"/>
        <w:jc w:val="center"/>
        <w:rPr>
          <w:rFonts w:ascii="Times New Roman" w:hAnsi="Times New Roman" w:cs="Times New Roman"/>
          <w:sz w:val="24"/>
          <w:szCs w:val="24"/>
        </w:rPr>
      </w:pPr>
    </w:p>
    <w:p w:rsidR="00477241" w:rsidRDefault="00477241" w:rsidP="00A75A49">
      <w:pPr>
        <w:ind w:left="0" w:firstLine="720"/>
        <w:jc w:val="center"/>
        <w:rPr>
          <w:rFonts w:ascii="Times New Roman" w:hAnsi="Times New Roman" w:cs="Times New Roman"/>
          <w:sz w:val="24"/>
          <w:szCs w:val="24"/>
        </w:rPr>
      </w:pPr>
    </w:p>
    <w:p w:rsidR="00477241" w:rsidRDefault="00477241" w:rsidP="00A75A49">
      <w:pPr>
        <w:ind w:left="0" w:firstLine="720"/>
        <w:jc w:val="center"/>
        <w:rPr>
          <w:rFonts w:ascii="Times New Roman" w:hAnsi="Times New Roman" w:cs="Times New Roman"/>
          <w:sz w:val="24"/>
          <w:szCs w:val="24"/>
        </w:rPr>
      </w:pPr>
    </w:p>
    <w:p w:rsidR="00477241" w:rsidRPr="00477241" w:rsidRDefault="00477241" w:rsidP="00A75A49">
      <w:pPr>
        <w:ind w:left="0" w:firstLine="720"/>
        <w:jc w:val="center"/>
        <w:rPr>
          <w:rFonts w:ascii="Times New Roman" w:hAnsi="Times New Roman" w:cs="Times New Roman"/>
          <w:sz w:val="24"/>
          <w:szCs w:val="24"/>
        </w:rPr>
      </w:pPr>
      <w:r w:rsidRPr="00477241">
        <w:rPr>
          <w:rFonts w:ascii="Times New Roman" w:hAnsi="Times New Roman" w:cs="Times New Roman"/>
          <w:sz w:val="24"/>
          <w:szCs w:val="24"/>
        </w:rPr>
        <w:t>WATER REGULATION AND FLOODING</w:t>
      </w:r>
    </w:p>
    <w:p w:rsidR="00477241" w:rsidRPr="00477241" w:rsidRDefault="00477241" w:rsidP="00A75A49">
      <w:pPr>
        <w:ind w:left="0" w:firstLine="720"/>
        <w:jc w:val="center"/>
        <w:rPr>
          <w:rFonts w:ascii="Times New Roman" w:hAnsi="Times New Roman" w:cs="Times New Roman"/>
          <w:sz w:val="24"/>
          <w:szCs w:val="24"/>
        </w:rPr>
      </w:pPr>
      <w:r w:rsidRPr="00477241">
        <w:rPr>
          <w:rFonts w:ascii="Times New Roman" w:hAnsi="Times New Roman" w:cs="Times New Roman"/>
          <w:sz w:val="24"/>
          <w:szCs w:val="24"/>
        </w:rPr>
        <w:t>Name</w:t>
      </w:r>
    </w:p>
    <w:p w:rsidR="00477241" w:rsidRPr="00477241" w:rsidRDefault="00477241" w:rsidP="00A75A49">
      <w:pPr>
        <w:ind w:left="0" w:firstLine="720"/>
        <w:jc w:val="center"/>
        <w:rPr>
          <w:rFonts w:ascii="Times New Roman" w:hAnsi="Times New Roman" w:cs="Times New Roman"/>
          <w:sz w:val="24"/>
          <w:szCs w:val="24"/>
        </w:rPr>
      </w:pPr>
      <w:r w:rsidRPr="00477241">
        <w:rPr>
          <w:rFonts w:ascii="Times New Roman" w:hAnsi="Times New Roman" w:cs="Times New Roman"/>
          <w:sz w:val="24"/>
          <w:szCs w:val="24"/>
        </w:rPr>
        <w:t>Institution</w:t>
      </w:r>
    </w:p>
    <w:p w:rsidR="00477241" w:rsidRPr="00477241" w:rsidRDefault="00477241" w:rsidP="00A75A49">
      <w:pPr>
        <w:ind w:left="0" w:firstLine="720"/>
        <w:jc w:val="center"/>
        <w:rPr>
          <w:rFonts w:ascii="Times New Roman" w:hAnsi="Times New Roman" w:cs="Times New Roman"/>
          <w:sz w:val="24"/>
          <w:szCs w:val="24"/>
        </w:rPr>
      </w:pPr>
      <w:r w:rsidRPr="00477241">
        <w:rPr>
          <w:rFonts w:ascii="Times New Roman" w:hAnsi="Times New Roman" w:cs="Times New Roman"/>
          <w:sz w:val="24"/>
          <w:szCs w:val="24"/>
        </w:rPr>
        <w:t>Date</w:t>
      </w:r>
    </w:p>
    <w:p w:rsidR="00477241" w:rsidRPr="00477241" w:rsidRDefault="00477241" w:rsidP="00A75A49">
      <w:pPr>
        <w:ind w:left="0" w:firstLine="720"/>
        <w:jc w:val="center"/>
        <w:rPr>
          <w:rFonts w:ascii="Times New Roman" w:hAnsi="Times New Roman" w:cs="Times New Roman"/>
          <w:sz w:val="24"/>
          <w:szCs w:val="24"/>
        </w:rPr>
      </w:pPr>
    </w:p>
    <w:p w:rsidR="00477241" w:rsidRDefault="00477241" w:rsidP="00A75A49">
      <w:pPr>
        <w:ind w:left="0" w:firstLine="720"/>
        <w:jc w:val="center"/>
        <w:rPr>
          <w:rFonts w:ascii="Times New Roman" w:hAnsi="Times New Roman" w:cs="Times New Roman"/>
          <w:b/>
          <w:sz w:val="24"/>
          <w:szCs w:val="24"/>
        </w:rPr>
      </w:pPr>
    </w:p>
    <w:p w:rsidR="00477241" w:rsidRDefault="00477241" w:rsidP="00A75A49">
      <w:pPr>
        <w:ind w:left="0" w:firstLine="720"/>
        <w:jc w:val="center"/>
        <w:rPr>
          <w:rFonts w:ascii="Times New Roman" w:hAnsi="Times New Roman" w:cs="Times New Roman"/>
          <w:b/>
          <w:sz w:val="24"/>
          <w:szCs w:val="24"/>
        </w:rPr>
      </w:pPr>
    </w:p>
    <w:p w:rsidR="00477241" w:rsidRDefault="00477241" w:rsidP="00A75A49">
      <w:pPr>
        <w:ind w:left="0" w:firstLine="720"/>
        <w:jc w:val="center"/>
        <w:rPr>
          <w:rFonts w:ascii="Times New Roman" w:hAnsi="Times New Roman" w:cs="Times New Roman"/>
          <w:b/>
          <w:sz w:val="24"/>
          <w:szCs w:val="24"/>
        </w:rPr>
      </w:pPr>
    </w:p>
    <w:p w:rsidR="00477241" w:rsidRDefault="00477241" w:rsidP="00A75A49">
      <w:pPr>
        <w:ind w:left="0" w:firstLine="720"/>
        <w:jc w:val="center"/>
        <w:rPr>
          <w:rFonts w:ascii="Times New Roman" w:hAnsi="Times New Roman" w:cs="Times New Roman"/>
          <w:b/>
          <w:sz w:val="24"/>
          <w:szCs w:val="24"/>
        </w:rPr>
      </w:pPr>
    </w:p>
    <w:p w:rsidR="00477241" w:rsidRDefault="00477241" w:rsidP="00A75A49">
      <w:pPr>
        <w:ind w:left="0" w:firstLine="720"/>
        <w:jc w:val="center"/>
        <w:rPr>
          <w:rFonts w:ascii="Times New Roman" w:hAnsi="Times New Roman" w:cs="Times New Roman"/>
          <w:b/>
          <w:sz w:val="24"/>
          <w:szCs w:val="24"/>
        </w:rPr>
      </w:pPr>
    </w:p>
    <w:p w:rsidR="00477241" w:rsidRDefault="00477241" w:rsidP="00A75A49">
      <w:pPr>
        <w:ind w:left="0" w:firstLine="720"/>
        <w:jc w:val="center"/>
        <w:rPr>
          <w:rFonts w:ascii="Times New Roman" w:hAnsi="Times New Roman" w:cs="Times New Roman"/>
          <w:b/>
          <w:sz w:val="24"/>
          <w:szCs w:val="24"/>
        </w:rPr>
      </w:pPr>
    </w:p>
    <w:p w:rsidR="00477241" w:rsidRDefault="00477241" w:rsidP="00A75A49">
      <w:pPr>
        <w:ind w:left="0" w:firstLine="720"/>
        <w:jc w:val="center"/>
        <w:rPr>
          <w:rFonts w:ascii="Times New Roman" w:hAnsi="Times New Roman" w:cs="Times New Roman"/>
          <w:b/>
          <w:sz w:val="24"/>
          <w:szCs w:val="24"/>
        </w:rPr>
      </w:pPr>
    </w:p>
    <w:p w:rsidR="00477241" w:rsidRDefault="00477241" w:rsidP="00A75A49">
      <w:pPr>
        <w:ind w:left="0" w:firstLine="720"/>
        <w:jc w:val="center"/>
        <w:rPr>
          <w:rFonts w:ascii="Times New Roman" w:hAnsi="Times New Roman" w:cs="Times New Roman"/>
          <w:b/>
          <w:sz w:val="24"/>
          <w:szCs w:val="24"/>
        </w:rPr>
      </w:pPr>
    </w:p>
    <w:p w:rsidR="00477241" w:rsidRDefault="00477241" w:rsidP="00A75A49">
      <w:pPr>
        <w:ind w:left="0" w:firstLine="720"/>
        <w:jc w:val="center"/>
        <w:rPr>
          <w:rFonts w:ascii="Times New Roman" w:hAnsi="Times New Roman" w:cs="Times New Roman"/>
          <w:b/>
          <w:sz w:val="24"/>
          <w:szCs w:val="24"/>
        </w:rPr>
      </w:pPr>
    </w:p>
    <w:p w:rsidR="00A75A49" w:rsidRPr="00A75A49" w:rsidRDefault="00A75A49" w:rsidP="00A75A49">
      <w:pPr>
        <w:ind w:left="0" w:firstLine="720"/>
        <w:jc w:val="center"/>
        <w:rPr>
          <w:rFonts w:ascii="Times New Roman" w:hAnsi="Times New Roman" w:cs="Times New Roman"/>
          <w:b/>
          <w:sz w:val="24"/>
          <w:szCs w:val="24"/>
        </w:rPr>
      </w:pPr>
      <w:r w:rsidRPr="00A75A49">
        <w:rPr>
          <w:rFonts w:ascii="Times New Roman" w:hAnsi="Times New Roman" w:cs="Times New Roman"/>
          <w:b/>
          <w:sz w:val="24"/>
          <w:szCs w:val="24"/>
        </w:rPr>
        <w:lastRenderedPageBreak/>
        <w:t>Water regulation</w:t>
      </w:r>
    </w:p>
    <w:p w:rsidR="00A75A49" w:rsidRPr="00A75A49" w:rsidRDefault="00A75A49" w:rsidP="00A75A49">
      <w:pPr>
        <w:ind w:left="0" w:firstLine="720"/>
        <w:jc w:val="both"/>
        <w:rPr>
          <w:rFonts w:ascii="Times New Roman" w:hAnsi="Times New Roman" w:cs="Times New Roman"/>
          <w:sz w:val="24"/>
          <w:szCs w:val="24"/>
        </w:rPr>
      </w:pPr>
      <w:r w:rsidRPr="00A75A49">
        <w:rPr>
          <w:rFonts w:ascii="Times New Roman" w:hAnsi="Times New Roman" w:cs="Times New Roman"/>
          <w:sz w:val="24"/>
          <w:szCs w:val="24"/>
        </w:rPr>
        <w:t>Water protection is one component of environmental conservation. Water rights are the legal ways through which water can be diverted from its sources and utilized beneficially and without wastage. Water rights are classified under property rights although the holders are not the real owners of the water itself. Nevertheless, water right owners possess the right to use the water. To possess some water rights in California and some other states, you need to acquire a license or a permit from the state water board. The board is responsible for ensuring that the state’s water is utilized for its most essential use and that the interests of the public are considered (CEPA, N.D).</w:t>
      </w:r>
    </w:p>
    <w:p w:rsidR="00A75A49" w:rsidRPr="00A75A49" w:rsidRDefault="00A75A49" w:rsidP="00477241">
      <w:pPr>
        <w:ind w:left="0" w:firstLine="720"/>
        <w:jc w:val="both"/>
        <w:rPr>
          <w:rFonts w:ascii="Times New Roman" w:hAnsi="Times New Roman" w:cs="Times New Roman"/>
          <w:sz w:val="24"/>
          <w:szCs w:val="24"/>
        </w:rPr>
      </w:pPr>
      <w:r w:rsidRPr="00A75A49">
        <w:rPr>
          <w:rFonts w:ascii="Times New Roman" w:hAnsi="Times New Roman" w:cs="Times New Roman"/>
          <w:sz w:val="24"/>
          <w:szCs w:val="24"/>
        </w:rPr>
        <w:t xml:space="preserve">It is important for the government to regulate water access on private land because water conservation is one way of conserving the environment and ensuring the best and beneficial use of water as well as public safety. Additionally, it is one way of ensuring water safety during natural calamities such as drought. Groundwater is water that is held underground in rocks, soil or pores. Landowners can extract this water and use it beneficially without taking approvals from the state water board. However, considering that groundwater makes a huge part of the California water supply, and is one of the larger hydrological system sources it is important for the government to regulate its use. Scientifically, it has been proven that excessive pumping of groundwater has a great potential to empty aquifers quickly than natural systems. Moreover, it has the ability to dry up all nearby wells, cause saltwater intrusion and drain other water supplies such as the lakes, streams, and rivers. Moreover, extraction of a lot of water from the soil results in subsidence where the dirt becomes compact and the land sinks. Land subsidence can subsequently result in the destruction of infrastructure e.g. roads, irrigation canals buildings, pipelines, and bridges. Therefore, to avoid such destructions as a result of aggressive </w:t>
      </w:r>
      <w:r w:rsidRPr="00A75A49">
        <w:rPr>
          <w:rFonts w:ascii="Times New Roman" w:hAnsi="Times New Roman" w:cs="Times New Roman"/>
          <w:sz w:val="24"/>
          <w:szCs w:val="24"/>
        </w:rPr>
        <w:lastRenderedPageBreak/>
        <w:t>groundwater pumping the government need to regulate the use of this water (Erica, 2014). Water from streams should be regulated although people should be allowed to harvest the water for dry seasons to ensure they have enough and reduce the issue of water shortage during drought.</w:t>
      </w:r>
    </w:p>
    <w:p w:rsidR="00A75A49" w:rsidRPr="00A75A49" w:rsidRDefault="00A75A49" w:rsidP="00A75A49">
      <w:pPr>
        <w:ind w:left="0" w:firstLine="720"/>
        <w:jc w:val="center"/>
        <w:rPr>
          <w:rFonts w:ascii="Times New Roman" w:hAnsi="Times New Roman" w:cs="Times New Roman"/>
          <w:b/>
          <w:sz w:val="24"/>
          <w:szCs w:val="24"/>
        </w:rPr>
      </w:pPr>
      <w:r w:rsidRPr="00A75A49">
        <w:rPr>
          <w:rFonts w:ascii="Times New Roman" w:hAnsi="Times New Roman" w:cs="Times New Roman"/>
          <w:b/>
          <w:sz w:val="24"/>
          <w:szCs w:val="24"/>
        </w:rPr>
        <w:t>Conditions under which water use should be limited</w:t>
      </w:r>
    </w:p>
    <w:p w:rsidR="00A75A49" w:rsidRPr="00A75A49" w:rsidRDefault="00A75A49" w:rsidP="00A75A49">
      <w:pPr>
        <w:ind w:left="0" w:firstLine="720"/>
        <w:jc w:val="both"/>
        <w:rPr>
          <w:rFonts w:ascii="Times New Roman" w:hAnsi="Times New Roman" w:cs="Times New Roman"/>
          <w:sz w:val="24"/>
          <w:szCs w:val="24"/>
        </w:rPr>
      </w:pPr>
      <w:r w:rsidRPr="00A75A49">
        <w:rPr>
          <w:rFonts w:ascii="Times New Roman" w:hAnsi="Times New Roman" w:cs="Times New Roman"/>
          <w:sz w:val="24"/>
          <w:szCs w:val="24"/>
        </w:rPr>
        <w:t>Water restriction is a mandatory requirement to restrict water use which falls underwater storage levels according to the drought response plan. Under conditions such as drought, it is necessary to restrict water usage. Water restriction in such circumstances can be achieved through conducting sensitizing water campaigns, and good monitoring of water usage and sanctioning systems. This ensures that limited amounts of water are used for appropriate and beneficial purposes. Nevertheless, water use should be limited under any condition to ensure less water use and avoid water wastage. The public has the responsibility to use water wisely under any circumstances. For instance, planting of drought-resistant crops and taking short showers are a few ways through which water use should be limited (Kenney et. al, N.D). Given that water in some parts of California is limited, Indian citizens should not conserve California water to be used by other states. The water in this Country should be conserved to sustain its population a</w:t>
      </w:r>
      <w:r w:rsidR="00094E0B">
        <w:rPr>
          <w:rFonts w:ascii="Times New Roman" w:hAnsi="Times New Roman" w:cs="Times New Roman"/>
          <w:sz w:val="24"/>
          <w:szCs w:val="24"/>
        </w:rPr>
        <w:t>nd not benefit others who can</w:t>
      </w:r>
      <w:r w:rsidRPr="00A75A49">
        <w:rPr>
          <w:rFonts w:ascii="Times New Roman" w:hAnsi="Times New Roman" w:cs="Times New Roman"/>
          <w:sz w:val="24"/>
          <w:szCs w:val="24"/>
        </w:rPr>
        <w:t xml:space="preserve"> obtain water from their own sources.</w:t>
      </w:r>
    </w:p>
    <w:p w:rsidR="00A75A49" w:rsidRPr="00A75A49" w:rsidRDefault="00A75A49" w:rsidP="00A75A49">
      <w:pPr>
        <w:ind w:left="0" w:firstLine="720"/>
        <w:jc w:val="center"/>
        <w:rPr>
          <w:rFonts w:ascii="Times New Roman" w:hAnsi="Times New Roman" w:cs="Times New Roman"/>
          <w:b/>
          <w:sz w:val="24"/>
          <w:szCs w:val="24"/>
        </w:rPr>
      </w:pPr>
      <w:r w:rsidRPr="00A75A49">
        <w:rPr>
          <w:rFonts w:ascii="Times New Roman" w:hAnsi="Times New Roman" w:cs="Times New Roman"/>
          <w:b/>
          <w:sz w:val="24"/>
          <w:szCs w:val="24"/>
        </w:rPr>
        <w:t>Living in floodplains and Flood Prone Areas</w:t>
      </w:r>
    </w:p>
    <w:p w:rsidR="00A75A49" w:rsidRPr="00A75A49" w:rsidRDefault="00A75A49" w:rsidP="00A75A49">
      <w:pPr>
        <w:ind w:left="0" w:firstLine="720"/>
        <w:jc w:val="both"/>
        <w:rPr>
          <w:rFonts w:ascii="Times New Roman" w:hAnsi="Times New Roman" w:cs="Times New Roman"/>
          <w:sz w:val="24"/>
          <w:szCs w:val="24"/>
        </w:rPr>
      </w:pPr>
      <w:r w:rsidRPr="00A75A49">
        <w:rPr>
          <w:rFonts w:ascii="Times New Roman" w:hAnsi="Times New Roman" w:cs="Times New Roman"/>
          <w:sz w:val="24"/>
          <w:szCs w:val="24"/>
        </w:rPr>
        <w:t xml:space="preserve">For many years floods have led to massive deaths, property destructions and displacement of a lot of people. Nevertheless, floodplains and flood-prone areas are highly overpopulated and continue to receive more people. The rise in sea levels and the climate changes continue to raise risks to the residents. This high population can be associated with history when water was the major means of transportation. As a result, major cities globally are located along seacoasts, rivers, and lakes. Today, many people live in these areas because many </w:t>
      </w:r>
      <w:r w:rsidRPr="00A75A49">
        <w:rPr>
          <w:rFonts w:ascii="Times New Roman" w:hAnsi="Times New Roman" w:cs="Times New Roman"/>
          <w:sz w:val="24"/>
          <w:szCs w:val="24"/>
        </w:rPr>
        <w:lastRenderedPageBreak/>
        <w:t xml:space="preserve">industries are in such places and create job opportunities. Additionally, today’s high cost of communication has also contributed to overpopulation in these areas. </w:t>
      </w:r>
    </w:p>
    <w:p w:rsidR="00A75A49" w:rsidRPr="00A75A49" w:rsidRDefault="00A75A49" w:rsidP="00477241">
      <w:pPr>
        <w:ind w:left="0" w:firstLine="720"/>
        <w:jc w:val="both"/>
        <w:rPr>
          <w:rFonts w:ascii="Times New Roman" w:hAnsi="Times New Roman" w:cs="Times New Roman"/>
          <w:sz w:val="24"/>
          <w:szCs w:val="24"/>
        </w:rPr>
      </w:pPr>
      <w:r w:rsidRPr="00A75A49">
        <w:rPr>
          <w:rFonts w:ascii="Times New Roman" w:hAnsi="Times New Roman" w:cs="Times New Roman"/>
          <w:sz w:val="24"/>
          <w:szCs w:val="24"/>
        </w:rPr>
        <w:t xml:space="preserve">Although technology advancement such as flood control and wasteland development has imparted some sense of security and drawn so many people into flood-prone areas, people should not live in these areas. Although this technology has led to the construction of pumps, storm drains, and runoff ponds these systems are only more flood-resistant but not flood proof. Systems such as levee are constructed to resist some certain amount of floods. For instance, the 35 feet levee constructed for protection after the June 1972 flood. However, with time another flood that exceeds that will come. Although leaving these areas </w:t>
      </w:r>
      <w:r w:rsidR="00094E0B">
        <w:rPr>
          <w:rFonts w:ascii="Times New Roman" w:hAnsi="Times New Roman" w:cs="Times New Roman"/>
          <w:sz w:val="24"/>
          <w:szCs w:val="24"/>
        </w:rPr>
        <w:t xml:space="preserve">is </w:t>
      </w:r>
      <w:r w:rsidRPr="00A75A49">
        <w:rPr>
          <w:rFonts w:ascii="Times New Roman" w:hAnsi="Times New Roman" w:cs="Times New Roman"/>
          <w:sz w:val="24"/>
          <w:szCs w:val="24"/>
        </w:rPr>
        <w:t>hard due to the cost consideration of business owners and homeowners, it is important that people vacate such regions. Flooding and other natural calamities have been in existence for decades of years and they are not going to stop because of the m</w:t>
      </w:r>
      <w:r w:rsidR="00094E0B">
        <w:rPr>
          <w:rFonts w:ascii="Times New Roman" w:hAnsi="Times New Roman" w:cs="Times New Roman"/>
          <w:sz w:val="24"/>
          <w:szCs w:val="24"/>
        </w:rPr>
        <w:t>odern engineered technology</w:t>
      </w:r>
      <w:r w:rsidRPr="00A75A49">
        <w:rPr>
          <w:rFonts w:ascii="Times New Roman" w:hAnsi="Times New Roman" w:cs="Times New Roman"/>
          <w:sz w:val="24"/>
          <w:szCs w:val="24"/>
        </w:rPr>
        <w:t xml:space="preserve"> has made the regions safer. </w:t>
      </w:r>
    </w:p>
    <w:p w:rsidR="00A75A49" w:rsidRPr="00A75A49" w:rsidRDefault="00477241" w:rsidP="00477241">
      <w:pPr>
        <w:ind w:left="0" w:firstLine="720"/>
        <w:jc w:val="both"/>
        <w:rPr>
          <w:rFonts w:ascii="Times New Roman" w:hAnsi="Times New Roman" w:cs="Times New Roman"/>
          <w:sz w:val="24"/>
          <w:szCs w:val="24"/>
        </w:rPr>
      </w:pPr>
      <w:r w:rsidRPr="00A75A49">
        <w:rPr>
          <w:rFonts w:ascii="Times New Roman" w:hAnsi="Times New Roman" w:cs="Times New Roman"/>
          <w:sz w:val="24"/>
          <w:szCs w:val="24"/>
        </w:rPr>
        <w:t>Living in floodplains or flood-prone areas possesses</w:t>
      </w:r>
      <w:r w:rsidR="00A75A49" w:rsidRPr="00A75A49">
        <w:rPr>
          <w:rFonts w:ascii="Times New Roman" w:hAnsi="Times New Roman" w:cs="Times New Roman"/>
          <w:sz w:val="24"/>
          <w:szCs w:val="24"/>
        </w:rPr>
        <w:t xml:space="preserve"> such risks as death, property and livestock destruction, business around these areas can be forced to close for a long time. These losses affect the country and the regions for months or even years. Diseases and infections are also other effects that come with flooding. Waterborne diseases such as cholera, malaria, typhoid among other health hazards become serious public health threats (Kundzewicz et. al, 2014).</w:t>
      </w:r>
    </w:p>
    <w:p w:rsidR="009C7E16" w:rsidRDefault="00A75A49" w:rsidP="00477241">
      <w:pPr>
        <w:ind w:left="0" w:firstLine="720"/>
        <w:jc w:val="both"/>
        <w:rPr>
          <w:rFonts w:ascii="Times New Roman" w:hAnsi="Times New Roman" w:cs="Times New Roman"/>
          <w:sz w:val="24"/>
          <w:szCs w:val="24"/>
        </w:rPr>
      </w:pPr>
      <w:r w:rsidRPr="00A75A49">
        <w:rPr>
          <w:rFonts w:ascii="Times New Roman" w:hAnsi="Times New Roman" w:cs="Times New Roman"/>
          <w:sz w:val="24"/>
          <w:szCs w:val="24"/>
        </w:rPr>
        <w:t>Yes, tax dollars should be used to help flood victims get back to their normal lives. This is because they are also law-abiding citizens who pay tax in one way or another. Although natural calamities are always unexpected and subsequently are never planned for, emergencies are part of life and tax money which belongs to the citizens should be used in such emergencies to safe life and ensure a better living for all citizens.</w:t>
      </w:r>
    </w:p>
    <w:p w:rsidR="00A75A49" w:rsidRDefault="00A75A49" w:rsidP="009C7E16">
      <w:pPr>
        <w:ind w:left="0" w:firstLine="720"/>
        <w:jc w:val="center"/>
        <w:rPr>
          <w:rFonts w:ascii="Times New Roman" w:hAnsi="Times New Roman" w:cs="Times New Roman"/>
          <w:b/>
          <w:sz w:val="24"/>
          <w:szCs w:val="24"/>
        </w:rPr>
      </w:pPr>
    </w:p>
    <w:p w:rsidR="009C7E16" w:rsidRDefault="009C7E16" w:rsidP="009C7E16">
      <w:pPr>
        <w:ind w:left="0" w:firstLine="720"/>
        <w:jc w:val="center"/>
        <w:rPr>
          <w:rFonts w:ascii="Times New Roman" w:hAnsi="Times New Roman" w:cs="Times New Roman"/>
          <w:b/>
          <w:sz w:val="24"/>
          <w:szCs w:val="24"/>
        </w:rPr>
      </w:pPr>
      <w:r w:rsidRPr="009C7E16">
        <w:rPr>
          <w:rFonts w:ascii="Times New Roman" w:hAnsi="Times New Roman" w:cs="Times New Roman"/>
          <w:b/>
          <w:sz w:val="24"/>
          <w:szCs w:val="24"/>
        </w:rPr>
        <w:lastRenderedPageBreak/>
        <w:t>References</w:t>
      </w:r>
    </w:p>
    <w:p w:rsidR="009C7E16" w:rsidRDefault="009C7E16" w:rsidP="00F93F7D">
      <w:pPr>
        <w:ind w:hanging="720"/>
        <w:rPr>
          <w:rFonts w:ascii="Times New Roman" w:hAnsi="Times New Roman" w:cs="Times New Roman"/>
          <w:sz w:val="24"/>
          <w:szCs w:val="24"/>
        </w:rPr>
      </w:pPr>
      <w:r>
        <w:rPr>
          <w:rFonts w:ascii="Times New Roman" w:hAnsi="Times New Roman" w:cs="Times New Roman"/>
          <w:sz w:val="24"/>
          <w:szCs w:val="24"/>
        </w:rPr>
        <w:t>California Environmental Protection Agency (CEPA). (N.D). The Water Rights Process, State Water Resource</w:t>
      </w:r>
      <w:r w:rsidR="00F93F7D">
        <w:rPr>
          <w:rFonts w:ascii="Times New Roman" w:hAnsi="Times New Roman" w:cs="Times New Roman"/>
          <w:sz w:val="24"/>
          <w:szCs w:val="24"/>
        </w:rPr>
        <w:t xml:space="preserve"> Control Board. Retrieved from; </w:t>
      </w:r>
      <w:hyperlink r:id="rId6" w:history="1">
        <w:r w:rsidR="00F93F7D" w:rsidRPr="00030584">
          <w:rPr>
            <w:rStyle w:val="Hyperlink"/>
            <w:rFonts w:ascii="Times New Roman" w:hAnsi="Times New Roman" w:cs="Times New Roman"/>
            <w:sz w:val="24"/>
            <w:szCs w:val="24"/>
          </w:rPr>
          <w:t>https://www.waterboards.ca.gov/waterights/board_info/water_rights_process.shtml</w:t>
        </w:r>
      </w:hyperlink>
    </w:p>
    <w:p w:rsidR="00F93F7D" w:rsidRDefault="00F93F7D" w:rsidP="00F93F7D">
      <w:pPr>
        <w:ind w:hanging="720"/>
        <w:rPr>
          <w:rFonts w:ascii="Times New Roman" w:hAnsi="Times New Roman" w:cs="Times New Roman"/>
          <w:sz w:val="24"/>
          <w:szCs w:val="24"/>
        </w:rPr>
      </w:pPr>
      <w:r>
        <w:rPr>
          <w:rFonts w:ascii="Times New Roman" w:hAnsi="Times New Roman" w:cs="Times New Roman"/>
          <w:sz w:val="24"/>
          <w:szCs w:val="24"/>
        </w:rPr>
        <w:t xml:space="preserve">Erica Gies. (2014). As Water Crisis Deepens, California Finally Passes Groundwater Regulations. Retrieved from; </w:t>
      </w:r>
      <w:hyperlink r:id="rId7" w:history="1">
        <w:r w:rsidRPr="00030584">
          <w:rPr>
            <w:rStyle w:val="Hyperlink"/>
            <w:rFonts w:ascii="Times New Roman" w:hAnsi="Times New Roman" w:cs="Times New Roman"/>
            <w:sz w:val="24"/>
            <w:szCs w:val="24"/>
          </w:rPr>
          <w:t>https://www.theguardian.com/sustainable-business/2014/sep/03/california-drought-water-groundwater-regulation-bill-law-farm</w:t>
        </w:r>
      </w:hyperlink>
    </w:p>
    <w:p w:rsidR="000C1DD8" w:rsidRDefault="00F93F7D" w:rsidP="00F93F7D">
      <w:pPr>
        <w:ind w:hanging="720"/>
        <w:rPr>
          <w:rFonts w:ascii="Times New Roman" w:hAnsi="Times New Roman" w:cs="Times New Roman"/>
          <w:sz w:val="24"/>
          <w:szCs w:val="24"/>
        </w:rPr>
      </w:pPr>
      <w:r w:rsidRPr="00F93F7D">
        <w:rPr>
          <w:rFonts w:ascii="Times New Roman" w:hAnsi="Times New Roman" w:cs="Times New Roman"/>
          <w:sz w:val="24"/>
          <w:szCs w:val="24"/>
        </w:rPr>
        <w:t>Kenney, D. S., Goemans, C., Klein, R., Lowrey, J., &amp; Reidy, K. RESIDENTIAL WATER DEMAND MANAGEMENT: LESSONS FROM AURORA, COLORADO</w:t>
      </w:r>
    </w:p>
    <w:p w:rsidR="00F93F7D" w:rsidRPr="009C7E16" w:rsidRDefault="00F93F7D" w:rsidP="00F93F7D">
      <w:pPr>
        <w:ind w:hanging="720"/>
        <w:rPr>
          <w:rFonts w:ascii="Times New Roman" w:hAnsi="Times New Roman" w:cs="Times New Roman"/>
          <w:sz w:val="24"/>
          <w:szCs w:val="24"/>
        </w:rPr>
      </w:pPr>
      <w:r w:rsidRPr="00F93F7D">
        <w:rPr>
          <w:rFonts w:ascii="Times New Roman" w:hAnsi="Times New Roman" w:cs="Times New Roman"/>
          <w:sz w:val="24"/>
          <w:szCs w:val="24"/>
        </w:rPr>
        <w:t>.</w:t>
      </w:r>
      <w:r w:rsidR="000C1DD8" w:rsidRPr="000C1DD8">
        <w:rPr>
          <w:rFonts w:ascii="Arial" w:hAnsi="Arial" w:cs="Arial"/>
          <w:color w:val="222222"/>
          <w:sz w:val="20"/>
          <w:szCs w:val="20"/>
          <w:shd w:val="clear" w:color="auto" w:fill="FFFFFF"/>
        </w:rPr>
        <w:t xml:space="preserve"> </w:t>
      </w:r>
      <w:r w:rsidR="000C1DD8" w:rsidRPr="000C1DD8">
        <w:rPr>
          <w:rFonts w:ascii="Times New Roman" w:hAnsi="Times New Roman" w:cs="Times New Roman"/>
          <w:sz w:val="24"/>
          <w:szCs w:val="24"/>
        </w:rPr>
        <w:t>Kundzewicz, Z. W., Kanae, S., Seneviratne, S. I., Handmer, J.</w:t>
      </w:r>
      <w:r w:rsidR="000C1DD8">
        <w:rPr>
          <w:rFonts w:ascii="Times New Roman" w:hAnsi="Times New Roman" w:cs="Times New Roman"/>
          <w:sz w:val="24"/>
          <w:szCs w:val="24"/>
        </w:rPr>
        <w:t>, Nicholls, N., Peduzzi, P.,</w:t>
      </w:r>
      <w:r w:rsidR="000C1DD8" w:rsidRPr="000C1DD8">
        <w:rPr>
          <w:rFonts w:ascii="Times New Roman" w:hAnsi="Times New Roman" w:cs="Times New Roman"/>
          <w:sz w:val="24"/>
          <w:szCs w:val="24"/>
        </w:rPr>
        <w:t xml:space="preserve"> &amp; Muir-Wood, R. (2014). Flood risk and climate change: global and regional perspectives. </w:t>
      </w:r>
      <w:r w:rsidR="000C1DD8" w:rsidRPr="000C1DD8">
        <w:rPr>
          <w:rFonts w:ascii="Times New Roman" w:hAnsi="Times New Roman" w:cs="Times New Roman"/>
          <w:i/>
          <w:iCs/>
          <w:sz w:val="24"/>
          <w:szCs w:val="24"/>
        </w:rPr>
        <w:t>Hydrological Sciences Journal</w:t>
      </w:r>
      <w:r w:rsidR="000C1DD8" w:rsidRPr="000C1DD8">
        <w:rPr>
          <w:rFonts w:ascii="Times New Roman" w:hAnsi="Times New Roman" w:cs="Times New Roman"/>
          <w:sz w:val="24"/>
          <w:szCs w:val="24"/>
        </w:rPr>
        <w:t>, </w:t>
      </w:r>
      <w:r w:rsidR="000C1DD8" w:rsidRPr="000C1DD8">
        <w:rPr>
          <w:rFonts w:ascii="Times New Roman" w:hAnsi="Times New Roman" w:cs="Times New Roman"/>
          <w:i/>
          <w:iCs/>
          <w:sz w:val="24"/>
          <w:szCs w:val="24"/>
        </w:rPr>
        <w:t>59</w:t>
      </w:r>
      <w:r w:rsidR="000C1DD8" w:rsidRPr="000C1DD8">
        <w:rPr>
          <w:rFonts w:ascii="Times New Roman" w:hAnsi="Times New Roman" w:cs="Times New Roman"/>
          <w:sz w:val="24"/>
          <w:szCs w:val="24"/>
        </w:rPr>
        <w:t>(1), 1-28.</w:t>
      </w:r>
    </w:p>
    <w:sectPr w:rsidR="00F93F7D" w:rsidRPr="009C7E16" w:rsidSect="004772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295" w:rsidRDefault="00525295" w:rsidP="00477241">
      <w:pPr>
        <w:spacing w:line="240" w:lineRule="auto"/>
      </w:pPr>
      <w:r>
        <w:separator/>
      </w:r>
    </w:p>
  </w:endnote>
  <w:endnote w:type="continuationSeparator" w:id="0">
    <w:p w:rsidR="00525295" w:rsidRDefault="00525295" w:rsidP="004772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295" w:rsidRDefault="00525295" w:rsidP="00477241">
      <w:pPr>
        <w:spacing w:line="240" w:lineRule="auto"/>
      </w:pPr>
      <w:r>
        <w:separator/>
      </w:r>
    </w:p>
  </w:footnote>
  <w:footnote w:type="continuationSeparator" w:id="0">
    <w:p w:rsidR="00525295" w:rsidRDefault="00525295" w:rsidP="004772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762400"/>
      <w:docPartObj>
        <w:docPartGallery w:val="Page Numbers (Top of Page)"/>
        <w:docPartUnique/>
      </w:docPartObj>
    </w:sdtPr>
    <w:sdtEndPr>
      <w:rPr>
        <w:noProof/>
      </w:rPr>
    </w:sdtEndPr>
    <w:sdtContent>
      <w:p w:rsidR="00477241" w:rsidRDefault="00477241">
        <w:pPr>
          <w:pStyle w:val="Header"/>
          <w:jc w:val="right"/>
        </w:pPr>
        <w:r>
          <w:rPr>
            <w:rFonts w:ascii="Times New Roman" w:hAnsi="Times New Roman" w:cs="Times New Roman"/>
            <w:sz w:val="24"/>
            <w:szCs w:val="24"/>
          </w:rPr>
          <w:t>WATER REGULATION AND FLOODING</w:t>
        </w:r>
        <w:r>
          <w:t xml:space="preserve">                                                                                    </w:t>
        </w:r>
        <w:r>
          <w:fldChar w:fldCharType="begin"/>
        </w:r>
        <w:r>
          <w:instrText xml:space="preserve"> PAGE   \* MERGEFORMAT </w:instrText>
        </w:r>
        <w:r>
          <w:fldChar w:fldCharType="separate"/>
        </w:r>
        <w:r w:rsidR="00087BBB">
          <w:rPr>
            <w:noProof/>
          </w:rPr>
          <w:t>5</w:t>
        </w:r>
        <w:r>
          <w:rPr>
            <w:noProof/>
          </w:rPr>
          <w:fldChar w:fldCharType="end"/>
        </w:r>
      </w:p>
    </w:sdtContent>
  </w:sdt>
  <w:p w:rsidR="00477241" w:rsidRDefault="0047724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241" w:rsidRDefault="00477241">
    <w:pPr>
      <w:pStyle w:val="Header"/>
      <w:jc w:val="right"/>
    </w:pPr>
    <w:r>
      <w:rPr>
        <w:rFonts w:ascii="Times New Roman" w:hAnsi="Times New Roman" w:cs="Times New Roman"/>
        <w:sz w:val="24"/>
        <w:szCs w:val="24"/>
      </w:rPr>
      <w:t xml:space="preserve">Running head: WATER REGULATION AND FLOODING                                             </w:t>
    </w:r>
    <w:sdt>
      <w:sdtPr>
        <w:id w:val="-11894505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7BBB">
          <w:rPr>
            <w:noProof/>
          </w:rPr>
          <w:t>1</w:t>
        </w:r>
        <w:r>
          <w:rPr>
            <w:noProof/>
          </w:rPr>
          <w:fldChar w:fldCharType="end"/>
        </w:r>
      </w:sdtContent>
    </w:sdt>
  </w:p>
  <w:p w:rsidR="00477241" w:rsidRDefault="004772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F36"/>
    <w:rsid w:val="00087BBB"/>
    <w:rsid w:val="00094E0B"/>
    <w:rsid w:val="000C1DD8"/>
    <w:rsid w:val="00176012"/>
    <w:rsid w:val="001B3BDA"/>
    <w:rsid w:val="002D5F36"/>
    <w:rsid w:val="00477241"/>
    <w:rsid w:val="00525295"/>
    <w:rsid w:val="00572DB7"/>
    <w:rsid w:val="00601130"/>
    <w:rsid w:val="006803DF"/>
    <w:rsid w:val="0075200E"/>
    <w:rsid w:val="00806264"/>
    <w:rsid w:val="00856761"/>
    <w:rsid w:val="008A16A8"/>
    <w:rsid w:val="008F4F36"/>
    <w:rsid w:val="009C7E16"/>
    <w:rsid w:val="009D2BC3"/>
    <w:rsid w:val="00A252D0"/>
    <w:rsid w:val="00A75A49"/>
    <w:rsid w:val="00B33A6D"/>
    <w:rsid w:val="00C918F7"/>
    <w:rsid w:val="00D3291F"/>
    <w:rsid w:val="00DB5BBD"/>
    <w:rsid w:val="00F009F9"/>
    <w:rsid w:val="00F02740"/>
    <w:rsid w:val="00F46E29"/>
    <w:rsid w:val="00F93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18AF92-34A6-4036-98DA-3A392C952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B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3F7D"/>
    <w:rPr>
      <w:color w:val="0000FF" w:themeColor="hyperlink"/>
      <w:u w:val="single"/>
    </w:rPr>
  </w:style>
  <w:style w:type="paragraph" w:styleId="Header">
    <w:name w:val="header"/>
    <w:basedOn w:val="Normal"/>
    <w:link w:val="HeaderChar"/>
    <w:uiPriority w:val="99"/>
    <w:unhideWhenUsed/>
    <w:rsid w:val="00477241"/>
    <w:pPr>
      <w:tabs>
        <w:tab w:val="center" w:pos="4680"/>
        <w:tab w:val="right" w:pos="9360"/>
      </w:tabs>
      <w:spacing w:line="240" w:lineRule="auto"/>
    </w:pPr>
  </w:style>
  <w:style w:type="character" w:customStyle="1" w:styleId="HeaderChar">
    <w:name w:val="Header Char"/>
    <w:basedOn w:val="DefaultParagraphFont"/>
    <w:link w:val="Header"/>
    <w:uiPriority w:val="99"/>
    <w:rsid w:val="00477241"/>
  </w:style>
  <w:style w:type="paragraph" w:styleId="Footer">
    <w:name w:val="footer"/>
    <w:basedOn w:val="Normal"/>
    <w:link w:val="FooterChar"/>
    <w:uiPriority w:val="99"/>
    <w:unhideWhenUsed/>
    <w:rsid w:val="00477241"/>
    <w:pPr>
      <w:tabs>
        <w:tab w:val="center" w:pos="4680"/>
        <w:tab w:val="right" w:pos="9360"/>
      </w:tabs>
      <w:spacing w:line="240" w:lineRule="auto"/>
    </w:pPr>
  </w:style>
  <w:style w:type="character" w:customStyle="1" w:styleId="FooterChar">
    <w:name w:val="Footer Char"/>
    <w:basedOn w:val="DefaultParagraphFont"/>
    <w:link w:val="Footer"/>
    <w:uiPriority w:val="99"/>
    <w:rsid w:val="00477241"/>
  </w:style>
  <w:style w:type="paragraph" w:styleId="BalloonText">
    <w:name w:val="Balloon Text"/>
    <w:basedOn w:val="Normal"/>
    <w:link w:val="BalloonTextChar"/>
    <w:uiPriority w:val="99"/>
    <w:semiHidden/>
    <w:unhideWhenUsed/>
    <w:rsid w:val="0047724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2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guardian.com/sustainable-business/2014/sep/03/california-drought-water-groundwater-regulation-bill-law-far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terboards.ca.gov/waterights/board_info/water_rights_process.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3</cp:revision>
  <dcterms:created xsi:type="dcterms:W3CDTF">2018-06-18T19:14:00Z</dcterms:created>
  <dcterms:modified xsi:type="dcterms:W3CDTF">2018-06-18T19:14:00Z</dcterms:modified>
</cp:coreProperties>
</file>